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0" w:before="400" w:line="276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sz w:val="24"/>
          <w:szCs w:val="24"/>
        </w:rPr>
        <w:t xml:space="preserve">ООО «Солюшн»</w:t>
      </w:r>
    </w:p>
    <w:p>
      <w:pPr>
        <w:spacing w:after="120" w:before="0" w:line="276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/>
          <w:sz w:val="24"/>
          <w:szCs w:val="24"/>
        </w:rPr>
        <w:t xml:space="preserve">Установка пусковая носимая «Ястреб»</w:t>
      </w:r>
    </w:p>
    <w:p>
      <w:pPr>
        <w:spacing w:after="400" w:before="0" w:line="276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Для беспилотного летательного аппарата «Ястреб-М»</w:t>
      </w:r>
    </w:p>
    <w:p>
      <w:pPr>
        <w:spacing w:after="200" w:before="0" w:line="276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sz w:val="24"/>
          <w:szCs w:val="24"/>
        </w:rPr>
        <w:t xml:space="preserve">ПАСПОРТ</w:t>
      </w:r>
    </w:p>
    <w:p>
      <w:pPr>
        <w:spacing w:after="3200" w:before="0" w:line="276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СЛШН.301422.001 ПС</w:t>
      </w:r>
    </w:p>
    <w:p>
      <w:pPr>
        <w:spacing w:after="60" w:before="0" w:line="276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Российская Федерация</w:t>
      </w:r>
    </w:p>
    <w:p>
      <w:pPr>
        <w:spacing w:after="0" w:before="0" w:line="276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20___ г.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Содержание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1 Основные сведения об изделии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2 Основные технические данные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3 Комплектность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4 Ресурсы, сроки службы и хранения, гарантии изготовителя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5 Консервация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6 Свидетельство об упаковывании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7 Свидетельство о приёмке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8 Движение изделия при эксплуатации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 Указания по эксплуатации и мерам безопасности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10 Особые отметки</w:t>
      </w:r>
    </w:p>
    <w:p>
      <w:pPr>
        <w:spacing w:after="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11 Сведения об утилизации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 Основные сведения об изделии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1.1 Наименование и обозначение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Наименование изделия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Установка пусковая носимая «Ястреб»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Обозначение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 изделия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Носимая пусковая установка трубчатого типа, разборная, с рукоятью, прикладом и передней опорой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Применяемость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Беспилотный летательный аппарат «Ястреб-М», обозначение СЛШН.464511.001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Заводской номер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Дата изготовления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1.2 Сведения об изготовителе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Изготовитель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Общество с ограниченной ответственностью «Солюшн» (ООО «Солюшн»)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Адрес изготовителя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________________________________________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Телефон, электронная почта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________________________________________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Сервисная служба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________________________________________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1.3 Назначение изделия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Изделие предназначено для транспортирования, хранения и старта беспилотного летательного аппарата «Ястреб-М», а также для размещения органов управления комплексом при работе оператора.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Летательный аппарат размещается в коническом гнезде хвостовой частью вперёд, фиксируется четырёхсегментным замком и удерживается от осевого перемещения до момента старта. Принудительный обдув аппарата в гнезде обеспечивается вентилятором с автономным питанием.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корпусе изделия штатно размещаются пульт управления и приёмный видеомонитор оператора.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 Основные технические данные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2.1 Массогабаритные и конструктивные характеристики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Габаритные размеры передней части,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132 × 132 × 178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Габаритные размеры задней части,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116 × 198,5 × 193,2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Конструктивное исполнение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Разборное, две части, соединяемые по стыковому фланцу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Стыковой фланец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Диаметр 116 мм, толщина 6 мм; шесть винтов М4 длиной 16 мм по окружности диаметром 103 мм; центрирующий поясок с зазором 0,2 мм на сторону; гайки в шестигранных гнёздах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Дульный фланец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Диаметр 132 мм, толщина 8 мм; четыре резьбовых точки М4, азимуты 45°, 135°, 225°, 315°; гайки в шестигранных карманах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Материал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Акрилонитрилбутадиенстирол (допускается акрилонитрил-стирол-акрилат)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Способ изготовления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Послойное наплавление, поле построения не менее 256 × 256 × 256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Состав задней части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Рама с окном аккумуляторного отсека, рукоять, приклад, передняя опора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Расчётная масса деталей, изготовленных послойным наплавлением, 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950 (передняя часть 330, задняя часть 410, сегменты замка 4 × 25, кассета батареи 45, рамка вентилятора 8, крепление монитора 20, ложемент пульта 35)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Масса установки в сборе с вентилятором, батареей и крепежом, 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1140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Масса снаряжённой установки с монитором и пультом управления, 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1690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Масса снаряжённой установки с летательным аппаратом, кг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3,1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2.2 Посадочное гнездо и фиксация летательного аппарата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Профиль гнезда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Конический, выполнен по фактическому профилю хвостового конуса летательного аппарата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Глубина посадки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 оснований хвостовых плавников летательного аппарата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Зазор гнезда в основании,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1,2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Зазор гнезда у дульного среза,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0,3 (клиновой поджим)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Расчётный натяг по хвостовому конусу, мм³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93; контакт по остальной длине гнезда отсутствует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Канал под носовую антенну и наконечник,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Диаметр 20, на высоте от 6 до 43 мм; используется также для ввода провода вентилятора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 замка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Четырёхсегментный, четверть-сегменты по базовой дуге радиусом от 48 до 66 мм, высота 14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Пазы под хвостовые плавники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Сквозные, ширина 12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Количество сегментов с крюком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 (азимуты 45°, 135°, 225°)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Зазор «губа крюка — лапка хвостовика»,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1,1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Перекрытие крюка по лапке хвостовика,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1,8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Крепление сегмента с крюком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Винт М4 длиной 40 мм через колонну сегмента в гайку дульного фланца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Плоский сегмент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 шт., азимут 315° (совмещён с блистером силового разъёма аппарата); винт М4 длиной 20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Подъём губы на азимутах 135° и 225°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 радиуса 43 мм, зазор до площадок портов аппарата 1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Схема удержания аппарата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Клиновой поджим гнезда — радиально; три крюка — от осевого выхода; пазы — от проворота; поток вентилятора — дополнительный прижим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Проверка сопряжений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Пересечение сегментов замка с летательным аппаратом, хвостовым конусом и гнездом отсутствует (0 мм³)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2.3 Система обдува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 вентилятора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Осевой, типоразмер 40 × 40 × 10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Напряжение питания вентилятора, В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12 (при переходе на батарею из шести элементов — 24)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Крепление вентилятора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Рамка на двух бобышках под резьбу М3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Впускной канал,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Диаметр 38,5, центр на высоте 24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Выпускные окна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Четыре отверстия диаметром 10 мм на высоте 150 мм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2.4 Электрооборудование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Источник питания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Литий-полимерная батарея из трёх последовательных элементов, номинальное напряжение 11,1 В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Размещение батареи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Съёмная кассета в окне рамы задней части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Орган включения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Кнопка с фиксацией, отверстие в торце кассеты диаметром 16,2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Длительный ток кнопки, А, не менее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Сечение монтажного провода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AWG 20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Длина провода положительной цепи,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550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Длина провода отрицательной цепи,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630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Трасса прокладки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кассеты внутрь ствола, вдоль стенки канала в камеру гнезда к вентилятору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2.5 Навесное оборудование оператора</w:t>
      </w:r>
    </w:p>
    <w:p>
      <w:pPr>
        <w:spacing w:after="14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Видеомонитор и пульт управления входят в конструкцию установки: монитор устанавливается на резьбовом гнезде передней части, пульт — в ложементе задней части. Их посадочные размеры, масса и энергопотребление учтены при расчёте установки.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Крепление видеомонитора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Резьбовое гнездо 1/4″-20 на передней части, шарнирный кронштейн с фиксацией угла наклона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Наземная антенна видеотракта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Направленная панельная, диапазон 5,8 ГГц, коэффициент усиления от 10 до 13 дБи; устанавливается на кронштейне монитора, ось диаграммы направленности совмещена с осью ствола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Ложемент пульта управления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Установлен на задней части, фиксация хомутом; толщина стойки под хомут — 10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Ограничение по видеотракту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Штатный аналоговый видеомонитор не принимает цифровой видеосигнал. При комплектации летательного аппарата цифровым видеотрактом требуется приёмное устройство соответствующего стандарта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2.5.1 Видеомонитор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 и размер экрана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Жидкокристаллический, диагональ 5 дюймов (127 мм)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Разрешение экрана, пикселей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800 × 480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Яркость экрана, кд/м², не менее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900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Приёмный тракт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Двухканальный (диверсити) приёмник диапазона 5,8 ГГц с объединением сигналов двух трактов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Число частотных каналов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40 до 48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Устройство видеозаписи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Встроенное, формат MJPEG, до 60 кадр/с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Носитель записи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Карта microSD ёмкостью до 128 ГБ, класс скорости не ниже 10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Напряжение питания, В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5,0 до 25,2 (батарея от двух до шести последовательных элементов, либо USB-C 5 В, либо встроенный аккумулятор)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Встроенный аккумулятор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Литий-ионный, номинальное напряжение 3,7 В, ёмкость от 3000 до 4000 мА·ч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Потребляемая мощность, Вт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≈ 6,3 (ток 0,52 А при напряжении 12 В)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Продолжительность непрерывной работы от встроенного аккумулятора, ч, не менее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1,5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Габаритные размеры (без антенн),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135 × 88 × 16 до 145 × 86 × 16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Масса, 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165 до 170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Разъём видеовхода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Аналоговый, 3,5 мм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Антенные разъёмы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Два, тип SMA (или RP-SMA — в зависимости от исполнения)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Посадочное место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Резьба 1/4″-20</w:t>
            </w:r>
          </w:p>
        </w:tc>
      </w:tr>
    </w:tbl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2.5.2 Пульт управления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Компактный многоканальный пульт с открытой операционной системой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Габаритные размеры в сложенном положении,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156,6 × 65,1 × 125,3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Габаритные размеры в разложенном положении, мм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156,6 × 73,1 × 154,8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Масса без элементов питания, г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288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Диапазон рабочих частот, ГГц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2,400 до 2,480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Встроенный радиочастотный модуль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Протокол ExpressLRS диапазона 2,4 ГГц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Выходная мощность передатчика, дБм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 20 (режим с ограничением по региональным нормам) / до 24 (режим без ограничения)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Дальность управления по данным изготовителя пульта, км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более 2 при мощности 20 дБм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Число каналов управления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 16 (определяется приёмником)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Дисплей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Монохромный, 128 × 64 пикселя, с подсветкой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Органы управления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Два двухосевых поста на датчиках Холла со съёмными наконечниками, тумблеры с индикацией, кнопки триммирования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Антенна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Складная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Элементы питания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Два литий-ионных элемента типоразмера 18650, номинальное напряжение 3,7 В, ёмкость 3200 мА·ч каждый (в комплект пульта не входят)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Рабочее напряжение питания, В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6,6 до 8,4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Зарядка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Встроенное зарядное устройство, разъём USB-C с поддержкой быстрой зарядки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Отсек внешнего радиочастотного модуля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Формат «нано»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Обновление программного обеспечения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 интерфейсу USB либо с карты памяти</w:t>
            </w:r>
          </w:p>
        </w:tc>
      </w:tr>
    </w:tbl>
    <w:p>
      <w:pPr>
        <w:spacing w:after="100" w:before="14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Дальность управления, указанная изготовителем пульта (более 2 км при 20 дБм), является гарантированным минимумом при штатной антенне. Дальность линии управления комплекса в целом приведена в паспорте летательного аппарата и достигается за счёт применения приёмника с разнесёнными антеннами и выбора режима работы протокола.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2.6 Условия эксплуатации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Диапазон температур окружающего воздуха при эксплуатации, °C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 минус 25 до плюс 45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Условия хранения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Закрытое помещение, температура от плюс 5 до плюс 35 °C, относительная влажность не более 80 % при 25 °C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Ограничение по нагреву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 допускается длительное воздействие прямого солнечного излучения — материал корпуса теряет жёсткость при нагреве свыше плюс 80 °C</w:t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 Комплектность</w:t>
      </w:r>
    </w:p>
    <w:p>
      <w:pPr>
        <w:spacing w:after="14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Комплект поставки изделия приведён в таблице. Отметка о фактической комплектности вносится при приёмке.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2600"/>
        <w:gridCol w:w="900"/>
        <w:gridCol w:w="2505"/>
      </w:tblGrid>
      <w:tr>
        <w:trPr>
          <w:tblHeader/>
        </w:trP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Обозначение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Кол.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Примечание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Установка пусковая (передняя и задняя части в сборе)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Сегмент замка с крюком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СЛШН.301422.001-01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Азимуты 45°, 135°, 225°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Сегмент замка плоский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СЛШН.301422.001-02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Азимут 315°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Кассета аккумуляторной батареи с кнопкой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СЛШН.301422.001-03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Аккумуляторная батарея 3S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 заказу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Вентилятор в рамке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СЛШН.301422.001-04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Крепление видеомонитора 1/4″-20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СЛШН.301422.001-05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Ложемент пульта управления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СЛШН.301422.001-06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Видеомонитор 5 дюймов с устройством видеозаписи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Элемент конструкции установки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Антенна наземная направленная 5,8 ГГц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Устанавливается на кронштейне монитора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Карта памяти microSD, класс не ниже 10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Для устройства видеозаписи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Пульт управления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Элемент конструкции установки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Элемент питания 18650 для пульта управления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 заказу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Винт М4 × 16 (стыковой фланец)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Винт М4 × 40 (сегменты с крюком)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Винт М4 × 20 (плоский сегмент)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Паспорт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 ПС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4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Руководство по эксплуатации</w:t>
            </w:r>
          </w:p>
        </w:tc>
        <w:tc>
          <w:tcPr>
            <w:tcW w:type="dxa" w:w="2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СЛШН.301422.001 РЭ</w:t>
            </w:r>
          </w:p>
        </w:tc>
        <w:tc>
          <w:tcPr>
            <w:tcW w:type="dxa" w:w="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25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 Ресурсы, сроки службы и хранения, гарантии изготовителя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4.1 Ресурсы и сроки службы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0"/>
        <w:gridCol w:w="4605"/>
      </w:tblGrid>
      <w:tr>
        <w:trPr>
          <w:tblHeader/>
        </w:trP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параметра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Назначенный ресурс, циклов «установка — старт», не менее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500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Назначенный срок службы изделия, лет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Ресурс вентилятора, ч, не менее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2000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Ресурс аккумуляторной батареи (расходный элемент), циклов заряд-разряд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200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Срок хранения изделия в упаковке изготовителя, мес.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24</w:t>
            </w:r>
          </w:p>
        </w:tc>
      </w:tr>
      <w:tr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Периодичность технического обслуживания</w:t>
            </w:r>
          </w:p>
        </w:tc>
        <w:tc>
          <w:tcPr>
            <w:tcW w:type="dxa" w:w="46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Перед каждым применением — контрольный осмотр замка и посадочного гнезда; через каждые 100 циклов — проверка затяжки крепежа и состояния крюков</w:t>
            </w:r>
          </w:p>
        </w:tc>
      </w:tr>
    </w:tbl>
    <w:p>
      <w:pPr>
        <w:spacing w:after="6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 </w:t>
      </w:r>
    </w:p>
    <w:p>
      <w:pPr>
        <w:spacing w:after="100" w:before="10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Указанные ресурсы и сроки службы действительны при соблюдении потребителем требований настоящего паспорта и эксплуатационной документации.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4.2 Гарантии изготовителя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Изготовитель ООО «Солюшн» гарантирует соответствие изделия требованиям технических условий при соблюдении потребителем условий и правил транспортирования, хранения, монтажа и эксплуатации.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Гарантийный срок эксплуатации — 12 месяцев со дня ввода изделия в эксплуатацию, но не более 18 месяцев со дня приёмки изделия отделом технического контроля изготовителя.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Гарантийные обязательства не распространяются на:</w:t>
      </w:r>
    </w:p>
    <w:p>
      <w:pPr>
        <w:spacing w:after="100" w:before="0" w:line="276"/>
        <w:ind w:left="34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— детали и узлы, повреждённые в результате столкновения, падения, попадания посторонних предметов в винты, а также вследствие превышения предельных режимов, установленных настоящим паспортом;</w:t>
      </w:r>
    </w:p>
    <w:p>
      <w:pPr>
        <w:spacing w:after="100" w:before="0" w:line="276"/>
        <w:ind w:left="34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— изделие, подвергавшееся вскрытию, изменению конструкции или ремонту вне сервисной службы изготовителя;</w:t>
      </w:r>
    </w:p>
    <w:p>
      <w:pPr>
        <w:spacing w:after="100" w:before="0" w:line="276"/>
        <w:ind w:left="34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— аккумуляторные батареи и воздушные винты, отнесённые к расходным элементам;</w:t>
      </w:r>
    </w:p>
    <w:p>
      <w:pPr>
        <w:spacing w:after="100" w:before="0" w:line="276"/>
        <w:ind w:left="34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— повреждения, вызванные применением элементов питания и зарядных устройств, не соответствующих указанным в настоящем паспорте параметрам.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Рекламации предъявляются изготовителю в порядке, установленном действующим законодательством, с приложением настоящего паспорта и акта о выявленном дефекте.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 Консервация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2000"/>
        <w:gridCol w:w="2805"/>
      </w:tblGrid>
      <w:tr>
        <w:trPr>
          <w:tblHeader/>
        </w:trPr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Дата консервации</w:t>
            </w:r>
          </w:p>
        </w:tc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Наименование работы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Срок действия, годы</w:t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Должность, фамилия, подпись</w:t>
            </w:r>
          </w:p>
        </w:tc>
      </w:tr>
      <w:tr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100" w:before="16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Изделие подвергнуто консервации согласно требованиям инструкции по эксплуатации.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6 Свидетельство об упаковывании</w:t>
      </w:r>
    </w:p>
    <w:p>
      <w:pPr>
        <w:spacing w:after="8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Установка пусковая носимая «Ястреб», обозначение СЛШН.301422.001,</w:t>
      </w:r>
    </w:p>
    <w:p>
      <w:pPr>
        <w:spacing w:after="1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заводской номер ______________________</w:t>
      </w:r>
    </w:p>
    <w:p>
      <w:pPr>
        <w:spacing w:after="4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упакован ООО «Солюшн» согласно требованиям, предусмотренным конструкторской документацией и действующей технической документацией.</w:t>
      </w:r>
    </w:p>
    <w:tbl>
      <w:tblPr>
        <w:tblW w:type="dxa" w:w="10205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</w:tblPr>
      <w:tblGrid>
        <w:gridCol w:w="3401"/>
        <w:gridCol w:w="3401"/>
        <w:gridCol w:w="3403"/>
      </w:tblGrid>
      <w:tr>
        <w:tc>
          <w:tcPr>
            <w:tcW w:type="dxa" w:w="340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  <w:tc>
          <w:tcPr>
            <w:tcW w:type="dxa" w:w="340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  <w:tc>
          <w:tcPr>
            <w:tcW w:type="dxa" w:w="340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</w:tr>
      <w:tr>
        <w:tc>
          <w:tcPr>
            <w:tcW w:type="dxa" w:w="340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Должность</w:t>
            </w:r>
          </w:p>
        </w:tc>
        <w:tc>
          <w:tcPr>
            <w:tcW w:type="dxa" w:w="340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Личная подпись</w:t>
            </w:r>
          </w:p>
        </w:tc>
        <w:tc>
          <w:tcPr>
            <w:tcW w:type="dxa" w:w="340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Расшифровка подписи</w:t>
            </w:r>
          </w:p>
        </w:tc>
      </w:tr>
    </w:tbl>
    <w:p>
      <w:pPr>
        <w:spacing w:after="2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 </w:t>
      </w:r>
    </w:p>
    <w:tbl>
      <w:tblPr>
        <w:tblW w:type="dxa" w:w="10205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</w:tblPr>
      <w:tblGrid>
        <w:gridCol w:w="10205"/>
      </w:tblGrid>
      <w:tr>
        <w:tc>
          <w:tcPr>
            <w:tcW w:type="dxa" w:w="10205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</w:tr>
      <w:tr>
        <w:tc>
          <w:tcPr>
            <w:tcW w:type="dxa" w:w="10205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Год, месяц, число</w:t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7 Свидетельство о приёмке</w:t>
      </w:r>
    </w:p>
    <w:p>
      <w:pPr>
        <w:spacing w:after="8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Установка пусковая носимая «Ястреб», обозначение СЛШН.301422.001,</w:t>
      </w:r>
    </w:p>
    <w:p>
      <w:pPr>
        <w:spacing w:after="16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заводской номер ______________________</w:t>
      </w:r>
    </w:p>
    <w:p>
      <w:pPr>
        <w:spacing w:after="4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изготовлен и принят в соответствии с обязательными требованиями государственных стандартов, действующей технической документацией и признан годным для эксплуатации.</w:t>
      </w:r>
    </w:p>
    <w:p>
      <w:pPr>
        <w:spacing w:after="30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Начальник отдела технического контроля</w:t>
      </w:r>
    </w:p>
    <w:tbl>
      <w:tblPr>
        <w:tblW w:type="dxa" w:w="10205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</w:tblPr>
      <w:tblGrid>
        <w:gridCol w:w="5102"/>
        <w:gridCol w:w="5103"/>
      </w:tblGrid>
      <w:tr>
        <w:tc>
          <w:tcPr>
            <w:tcW w:type="dxa" w:w="510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  <w:tc>
          <w:tcPr>
            <w:tcW w:type="dxa" w:w="510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</w:tr>
      <w:tr>
        <w:tc>
          <w:tcPr>
            <w:tcW w:type="dxa" w:w="510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Личная подпись</w:t>
            </w:r>
          </w:p>
        </w:tc>
        <w:tc>
          <w:tcPr>
            <w:tcW w:type="dxa" w:w="510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Расшифровка подписи</w:t>
            </w:r>
          </w:p>
        </w:tc>
      </w:tr>
    </w:tbl>
    <w:p>
      <w:pPr>
        <w:spacing w:after="2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 </w:t>
      </w:r>
    </w:p>
    <w:p>
      <w:pPr>
        <w:spacing w:after="200" w:before="0" w:line="276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М.П.</w:t>
      </w:r>
    </w:p>
    <w:tbl>
      <w:tblPr>
        <w:tblW w:type="dxa" w:w="10205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</w:tblPr>
      <w:tblGrid>
        <w:gridCol w:w="10205"/>
      </w:tblGrid>
      <w:tr>
        <w:tc>
          <w:tcPr>
            <w:tcW w:type="dxa" w:w="10205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__________________________</w:t>
            </w:r>
          </w:p>
        </w:tc>
      </w:tr>
      <w:tr>
        <w:tc>
          <w:tcPr>
            <w:tcW w:type="dxa" w:w="10205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0"/>
              <w:bottom w:type="dxa" w:w="20"/>
              <w:right w:type="dxa" w:w="180"/>
            </w:tcMar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Год, месяц, число</w:t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8 Движение изделия при эксплуатации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900"/>
        <w:gridCol w:w="1400"/>
        <w:gridCol w:w="1900"/>
        <w:gridCol w:w="1600"/>
        <w:gridCol w:w="1905"/>
      </w:tblGrid>
      <w:tr>
        <w:trPr>
          <w:tblHeader/>
        </w:trPr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Дата установки</w:t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Наработка с начала эксплуатации</w:t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Дата снятия</w:t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Наработка после последнего ремонта</w:t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Причина снятия</w:t>
            </w:r>
          </w:p>
        </w:tc>
        <w:tc>
          <w:tcPr>
            <w:tcW w:type="dxa" w:w="19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Подпись лица, проводившего установку (снятие)</w:t>
            </w:r>
          </w:p>
        </w:tc>
      </w:tr>
      <w:tr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19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9 Указания по эксплуатации и мерам безопасности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9.1 Установка летательного аппарата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9.1.1 Дослать летательный аппарат в гнездо до упора в клиновой поджим.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9.1.2 Наклонить сегмент замка, завести крюк за верхнюю плоскость лапки хвостовика, опустить сегмент на дульный фланец.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9.1.3 Затянуть винт сегмента шестигранным ключом сверху. Повторить операции 9.1.2 и 9.1.3 для трёх сегментов с крюком.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9.1.4 Установить плоский сегмент на азимуте 315° и затянуть его винтом.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9.1.5 Убедиться в отсутствии люфта летательного аппарата в гнезде и в свободном доступе к ключу-перемычке силового разъёма аппарата.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9.2 Снятие летательного аппарата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9.2.1 Отвернуть винты сегментов замка (от трёх до четырёх штук в зависимости от применённой схемы фиксации).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9.2.2 Снять сегменты замка.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9.2.3 Извлечь летательный аппарат из гнезда движением вперёд по оси.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9.3 Обдув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9.3.1 Вентилятор включается кнопкой с фиксацией на торце кассеты аккумуляторной батареи.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9.3.2 Обдув обеспечивает охлаждение бортового оборудования летательного аппарата в гнезде и дополнительный прижим аппарата по посадочному клину.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9.3.3 При длительном ожидании старта контролировать остаточную ёмкость батареи установки.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9.3.4 Обдув обязателен при работе видеопередатчика летательного аппарата на мощности свыше 200 мВт, пока аппарат находится в гнезде. Непрерывная работа передатчика на максимальной мощности в гнезде допускается не более 2 мин.</w:t>
      </w:r>
    </w:p>
    <w:p>
      <w:pPr>
        <w:pStyle w:val="Heading2"/>
        <w:spacing w:after="140" w:before="2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9.4 Меры безопасности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9.4.1 Работы по установке и снятию летательного аппарата производить только при извлечённом ключе-перемычке силового разъёма аппарата.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9.4.2 Запрещается удерживать установку в направлении людей, животных и транспортных средств при поданном бортовом питании летательного аппарата.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9.4.3 Запрещается эксплуатация установки при обнаружении трещин корпуса, деформации сегментов замка, износа или смятия крюков.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9.4.4 Запрещается применение крепёжных винтов иной длины, чем указано в разделе 3, — короткий винт не обеспечивает удержания сегмента, длинный упирается в корпус.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9.4.5 Аккумуляторную батарею установки при длительном хранении извлекать из кассеты.</w:t>
      </w:r>
    </w:p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10 Особые отметки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5600"/>
        <w:gridCol w:w="2805"/>
      </w:tblGrid>
      <w:tr>
        <w:trPr>
          <w:tblHeader/>
        </w:trPr>
        <w:tc>
          <w:tcPr>
            <w:tcW w:type="dxa" w:w="1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Дата</w:t>
            </w:r>
          </w:p>
        </w:tc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Содержание отметки</w:t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40" w:before="4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Должность, фамилия, подпись</w:t>
            </w:r>
          </w:p>
        </w:tc>
      </w:tr>
      <w:tr>
        <w:tc>
          <w:tcPr>
            <w:tcW w:type="dxa" w:w="1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56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280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40" w:before="4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  <w:spacing w:after="200" w:before="340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11 Сведения об утилизации</w:t>
      </w:r>
    </w:p>
    <w:p>
      <w:pPr>
        <w:spacing w:after="100" w:before="0" w:line="276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Изделие не содержит драгоценных металлов в количествах, подлежащих учёту, и не относится к изделиям, требующим специальных мер при утилизации, за исключением аккумуляторной батареи и электровентилятора. По окончании срока службы изделие подлежит разборке: аккумуляторная батарея и электротехнические изделия передаются специализированной организации, имеющей лицензию на обращение с отходами соответствующего класса опасности; детали из термопластов утилизируются как отходы производства и потребления в порядке, установленном действующим законодательством Российской Федерации.</w:t>
      </w:r>
    </w:p>
    <w:sectPr>
      <w:footerReference w:type="default" r:id="rId7"/>
      <w:pgSz w:w="11906" w:h="16838" w:orient="portrait"/>
      <w:pgMar w:top="1134" w:right="567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2026-08-27T15:02:40.983Z</dcterms:created>
  <dcterms:modified xsi:type="dcterms:W3CDTF">2026-08-27T15:02:40.983Z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